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560" w:after="360"/>
        <w:jc w:val="center"/>
      </w:pPr>
      <w:r>
        <w:drawing>
          <wp:inline xmlns:a="http://schemas.openxmlformats.org/drawingml/2006/main" xmlns:pic="http://schemas.openxmlformats.org/drawingml/2006/picture">
            <wp:extent cx="1655999" cy="165599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adar_icon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55999" cy="16559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Next w:val="0"/>
        <w:spacing w:before="0" w:after="160" w:line="259" w:lineRule="auto"/>
        <w:jc w:val="center"/>
      </w:pPr>
      <w:r>
        <w:rPr>
          <w:rFonts w:ascii="Arial" w:hAnsi="Arial"/>
          <w:b/>
          <w:color w:val="C69536"/>
          <w:sz w:val="21"/>
        </w:rPr>
        <w:t>CALCULUS POSLOVNI RADAR</w:t>
      </w:r>
    </w:p>
    <w:p>
      <w:pPr>
        <w:keepNext w:val="0"/>
        <w:spacing w:before="0" w:after="160" w:line="240" w:lineRule="auto"/>
        <w:jc w:val="center"/>
      </w:pPr>
      <w:r>
        <w:rPr>
          <w:rFonts w:ascii="Arial" w:hAnsi="Arial"/>
          <w:b/>
          <w:color w:val="173A2F"/>
          <w:sz w:val="56"/>
        </w:rPr>
        <w:t>Cela firma na jednom ekranu</w:t>
      </w:r>
    </w:p>
    <w:p>
      <w:pPr>
        <w:keepNext w:val="0"/>
        <w:spacing w:before="0" w:after="400" w:line="259" w:lineRule="auto"/>
        <w:jc w:val="center"/>
      </w:pPr>
      <w:r>
        <w:rPr>
          <w:rFonts w:ascii="Arial" w:hAnsi="Arial"/>
          <w:color w:val="2F5949"/>
          <w:sz w:val="28"/>
        </w:rPr>
        <w:t>Pregled funkcija produkcione verzije 2.6.1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1" w:color="F7F0DF"/>
          <w:left w:val="single" w:sz="1" w:color="F7F0DF"/>
          <w:bottom w:val="single" w:sz="1" w:color="F7F0DF"/>
          <w:right w:val="single" w:sz="1" w:color="F7F0DF"/>
          <w:insideH w:val="single" w:sz="1" w:color="F7F0DF"/>
          <w:insideV w:val="single" w:sz="1" w:color="F7F0DF"/>
        </w:tblBorders>
      </w:tblPr>
      <w:tblGrid>
        <w:gridCol w:w="9184"/>
      </w:tblGrid>
      <w:tr>
        <w:tc>
          <w:tcPr>
            <w:tcW w:type="dxa" w:w="9184"/>
            <w:vAlign w:val="center"/>
            <w:shd w:fill="F7F0DF"/>
            <w:tcMar>
              <w:top w:w="180" w:type="dxa"/>
              <w:start w:w="240" w:type="dxa"/>
              <w:bottom w:w="180" w:type="dxa"/>
              <w:end w:w="240" w:type="dxa"/>
            </w:tcMar>
          </w:tcPr>
          <w:p>
            <w:pPr>
              <w:keepNext w:val="0"/>
              <w:spacing w:before="0" w:after="60" w:line="259" w:lineRule="auto"/>
            </w:pPr>
            <w:r>
              <w:rPr>
                <w:rFonts w:ascii="Arial" w:hAnsi="Arial"/>
                <w:b/>
                <w:color w:val="173A2F"/>
                <w:sz w:val="22"/>
              </w:rPr>
              <w:t>Jasna slika poslovanja, na jedan zahtev</w:t>
            </w:r>
          </w:p>
          <w:p>
            <w:pPr>
              <w:keepNext w:val="0"/>
              <w:spacing w:before="0" w:after="0" w:line="269" w:lineRule="auto"/>
            </w:pPr>
            <w:r>
              <w:rPr>
                <w:rFonts w:ascii="Arial" w:hAnsi="Arial"/>
                <w:color w:val="17211D"/>
                <w:sz w:val="19"/>
              </w:rPr>
              <w:t>Radar direktno čita izabranu Calculus 12 bazu, prepoznaje dostupne poslovne celine i priprema objedinjeni upravljački presek za vlasnike, direktore i menadžere.</w:t>
            </w:r>
          </w:p>
        </w:tc>
      </w:tr>
    </w:tbl>
    <w:p>
      <w:pPr>
        <w:spacing w:after="0"/>
      </w:pPr>
    </w:p>
    <w:p>
      <w:pPr>
        <w:keepNext w:val="0"/>
        <w:spacing w:before="0" w:after="160" w:line="269" w:lineRule="auto"/>
        <w:jc w:val="center"/>
      </w:pPr>
      <w:r>
        <w:rPr>
          <w:rFonts w:ascii="Arial" w:hAnsi="Arial"/>
          <w:b/>
          <w:i w:val="0"/>
          <w:color w:val="173A2F"/>
          <w:sz w:val="22"/>
        </w:rPr>
        <w:t>Bez ručnog sabiranja više različitih pregleda. Bez mesečne pretplate. Podaci ostaju na računaru korisnika.</w:t>
      </w:r>
    </w:p>
    <w:p>
      <w:pPr>
        <w:keepNext w:val="0"/>
        <w:spacing w:before="0" w:after="120" w:line="269" w:lineRule="auto"/>
        <w:jc w:val="center"/>
      </w:pPr>
      <w:r>
        <w:rPr>
          <w:rFonts w:ascii="Arial" w:hAnsi="Arial"/>
          <w:b w:val="0"/>
          <w:i w:val="0"/>
          <w:color w:val="5E6B65"/>
          <w:sz w:val="18"/>
        </w:rPr>
        <w:t>SAGITARION Subotica  •  2026</w:t>
      </w:r>
    </w:p>
    <w:p>
      <w:r>
        <w:br w:type="page"/>
      </w:r>
    </w:p>
    <w:p>
      <w:pPr>
        <w:pStyle w:val="Heading1"/>
        <w:keepNext/>
      </w:pPr>
      <w:r>
        <w:t>Šta Radar radi</w:t>
      </w:r>
    </w:p>
    <w:p>
      <w:pPr>
        <w:keepNext w:val="0"/>
        <w:spacing w:before="0" w:after="240" w:line="269" w:lineRule="auto"/>
      </w:pPr>
      <w:r>
        <w:rPr>
          <w:rFonts w:ascii="Arial" w:hAnsi="Arial"/>
          <w:b w:val="0"/>
          <w:i w:val="0"/>
          <w:color w:val="2F5949"/>
          <w:sz w:val="22"/>
        </w:rPr>
        <w:t>Jednim kontrolisanim presekom objedinjuje trenutno operativno i finansijsko stanje firme od početka izabrane poslovne godine do datuma preseka.</w:t>
      </w:r>
    </w:p>
    <w:p>
      <w:pPr>
        <w:pStyle w:val="ListBullet"/>
        <w:keepNext w:val="0"/>
        <w:spacing w:before="0" w:after="80" w:line="264" w:lineRule="auto"/>
      </w:pPr>
      <w:r>
        <w:rPr>
          <w:rFonts w:ascii="Arial" w:hAnsi="Arial"/>
          <w:b/>
          <w:color w:val="2F5949"/>
          <w:sz w:val="20"/>
        </w:rPr>
        <w:t xml:space="preserve">Direktorski pregled: </w:t>
      </w:r>
      <w:r>
        <w:rPr>
          <w:rFonts w:ascii="Arial" w:hAnsi="Arial"/>
          <w:color w:val="17211D"/>
          <w:sz w:val="20"/>
        </w:rPr>
        <w:t>najvažniji pokazatelji, upozorenja i poslovni signali, uz YTD od 01.01. i kalendarski MTD od početka meseca do istog datuma preseka.</w:t>
      </w:r>
    </w:p>
    <w:p>
      <w:pPr>
        <w:pStyle w:val="ListBullet"/>
        <w:keepNext w:val="0"/>
        <w:spacing w:before="0" w:after="80" w:line="264" w:lineRule="auto"/>
      </w:pPr>
      <w:r>
        <w:rPr>
          <w:rFonts w:ascii="Arial" w:hAnsi="Arial"/>
          <w:b/>
          <w:color w:val="2F5949"/>
          <w:sz w:val="20"/>
        </w:rPr>
        <w:t xml:space="preserve">Dnevni presek: </w:t>
      </w:r>
      <w:r>
        <w:rPr>
          <w:rFonts w:ascii="Arial" w:hAnsi="Arial"/>
          <w:color w:val="17211D"/>
          <w:sz w:val="20"/>
        </w:rPr>
        <w:t>prodaja, dokumenti, naplate, plaćanja i kratkoročni trendovi.</w:t>
      </w:r>
    </w:p>
    <w:p>
      <w:pPr>
        <w:pStyle w:val="ListBullet"/>
        <w:keepNext w:val="0"/>
        <w:spacing w:before="0" w:after="80" w:line="264" w:lineRule="auto"/>
      </w:pPr>
      <w:r>
        <w:rPr>
          <w:rFonts w:ascii="Arial" w:hAnsi="Arial"/>
          <w:b/>
          <w:color w:val="2F5949"/>
          <w:sz w:val="20"/>
        </w:rPr>
        <w:t xml:space="preserve">Naredne četiri nedelje: </w:t>
      </w:r>
      <w:r>
        <w:rPr>
          <w:rFonts w:ascii="Arial" w:hAnsi="Arial"/>
          <w:color w:val="17211D"/>
          <w:sz w:val="20"/>
        </w:rPr>
        <w:t>dospeća, očekivani prilivi i odlivi i operativni pogled na likvidnost.</w:t>
      </w:r>
    </w:p>
    <w:p>
      <w:pPr>
        <w:pStyle w:val="ListBullet"/>
        <w:keepNext w:val="0"/>
        <w:spacing w:before="0" w:after="80" w:line="264" w:lineRule="auto"/>
      </w:pPr>
      <w:r>
        <w:rPr>
          <w:rFonts w:ascii="Arial" w:hAnsi="Arial"/>
          <w:b/>
          <w:color w:val="2F5949"/>
          <w:sz w:val="20"/>
        </w:rPr>
        <w:t xml:space="preserve">Mesečni pregled: </w:t>
      </w:r>
      <w:r>
        <w:rPr>
          <w:rFonts w:ascii="Arial" w:hAnsi="Arial"/>
          <w:color w:val="17211D"/>
          <w:sz w:val="20"/>
        </w:rPr>
        <w:t>zalihe, obrt, bruto razlika, kupci, artikli i kvalitet nabavne vrednosti.</w:t>
      </w:r>
    </w:p>
    <w:p>
      <w:pPr>
        <w:pStyle w:val="ListBullet"/>
        <w:keepNext w:val="0"/>
        <w:spacing w:before="0" w:after="80" w:line="264" w:lineRule="auto"/>
      </w:pPr>
      <w:r>
        <w:rPr>
          <w:rFonts w:ascii="Arial" w:hAnsi="Arial"/>
          <w:b/>
          <w:color w:val="2F5949"/>
          <w:sz w:val="20"/>
        </w:rPr>
        <w:t xml:space="preserve">Automatsko prepoznavanje: </w:t>
      </w:r>
      <w:r>
        <w:rPr>
          <w:rFonts w:ascii="Arial" w:hAnsi="Arial"/>
          <w:color w:val="17211D"/>
          <w:sz w:val="20"/>
        </w:rPr>
        <w:t>Radar prikazuje samo poslovne celine za koje u bazi postoje dokazivi i upotrebljivi podaci.</w:t>
      </w:r>
    </w:p>
    <w:p>
      <w:pPr>
        <w:pStyle w:val="Heading2"/>
        <w:keepNext/>
      </w:pPr>
      <w:r>
        <w:t>Presek na datum koji je potreban</w:t>
      </w:r>
    </w:p>
    <w:p>
      <w:pPr>
        <w:keepNext w:val="0"/>
        <w:spacing w:before="0" w:after="120" w:line="269" w:lineRule="auto"/>
      </w:pPr>
      <w:r>
        <w:rPr>
          <w:rFonts w:ascii="Arial" w:hAnsi="Arial"/>
          <w:b w:val="0"/>
          <w:i w:val="0"/>
          <w:color w:val="17211D"/>
          <w:sz w:val="20"/>
        </w:rPr>
        <w:t>Podrazumevan je današnji datum, ali se može izabrati i raniji datum u poslovnoj godini - na primer 30.06. za banku, sastanak uprave, elaborat ili poslovni plan.</w:t>
      </w:r>
    </w:p>
    <w:p>
      <w:pPr>
        <w:pStyle w:val="Heading2"/>
        <w:keepNext/>
      </w:pPr>
      <w:r>
        <w:t>Glavna i Uporedna baza</w:t>
      </w:r>
    </w:p>
    <w:p>
      <w:pPr>
        <w:keepNext w:val="0"/>
        <w:spacing w:before="0" w:after="120" w:line="269" w:lineRule="auto"/>
      </w:pPr>
      <w:r>
        <w:rPr>
          <w:rFonts w:ascii="Arial" w:hAnsi="Arial"/>
          <w:b w:val="0"/>
          <w:i w:val="0"/>
          <w:color w:val="17211D"/>
          <w:sz w:val="20"/>
        </w:rPr>
        <w:t>Glavna baza daje godinu preseka. Opcionom Uporednom bazom isti period može se porediti sa prethodnom ili drugom referentnom godinom. Susedne godine daju YoY — Poređenje godina, a nesusedne referentni benčmark. Radar blokira izbor ako obe baze imaju istu sistemsku poslovnu godinu i daje postupak provere u programu Upgrade baze.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1" w:color="EAF1ED"/>
          <w:left w:val="single" w:sz="1" w:color="EAF1ED"/>
          <w:bottom w:val="single" w:sz="1" w:color="EAF1ED"/>
          <w:right w:val="single" w:sz="1" w:color="EAF1ED"/>
          <w:insideH w:val="single" w:sz="1" w:color="EAF1ED"/>
          <w:insideV w:val="single" w:sz="1" w:color="EAF1ED"/>
        </w:tblBorders>
      </w:tblPr>
      <w:tblGrid>
        <w:gridCol w:w="9184"/>
      </w:tblGrid>
      <w:tr>
        <w:tc>
          <w:tcPr>
            <w:tcW w:type="dxa" w:w="9184"/>
            <w:vAlign w:val="center"/>
            <w:shd w:fill="EAF1ED"/>
            <w:tcMar>
              <w:top w:w="180" w:type="dxa"/>
              <w:start w:w="240" w:type="dxa"/>
              <w:bottom w:w="180" w:type="dxa"/>
              <w:end w:w="240" w:type="dxa"/>
            </w:tcMar>
          </w:tcPr>
          <w:p>
            <w:pPr>
              <w:keepNext w:val="0"/>
              <w:spacing w:before="0" w:after="60" w:line="259" w:lineRule="auto"/>
            </w:pPr>
            <w:r>
              <w:rPr>
                <w:rFonts w:ascii="Arial" w:hAnsi="Arial"/>
                <w:b/>
                <w:color w:val="173A2F"/>
                <w:sz w:val="22"/>
              </w:rPr>
              <w:t>Jedan presek - zajednička osnova za razgovor</w:t>
            </w:r>
          </w:p>
          <w:p>
            <w:pPr>
              <w:keepNext w:val="0"/>
              <w:spacing w:before="0" w:after="0" w:line="269" w:lineRule="auto"/>
            </w:pPr>
            <w:r>
              <w:rPr>
                <w:rFonts w:ascii="Arial" w:hAnsi="Arial"/>
                <w:color w:val="17211D"/>
                <w:sz w:val="19"/>
              </w:rPr>
              <w:t>Vlasnik, direktor, menadžer i računovođa posmatraju isti datum, isti obuhvat i jasno označene izvore podataka.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  <w:keepNext/>
      </w:pPr>
      <w:r>
        <w:t>Calculus baza sa DSN-om ili bez njega</w:t>
      </w:r>
    </w:p>
    <w:p>
      <w:pPr>
        <w:keepNext w:val="0"/>
        <w:spacing w:before="0" w:after="240" w:line="269" w:lineRule="auto"/>
      </w:pPr>
      <w:r>
        <w:rPr>
          <w:rFonts w:ascii="Arial" w:hAnsi="Arial"/>
          <w:b w:val="0"/>
          <w:i w:val="0"/>
          <w:color w:val="2F5949"/>
          <w:sz w:val="22"/>
        </w:rPr>
        <w:t>Radar zadržava standardno povezivanje preko postojećeg Calculus DSN-a, ali može da radi i kada Calculus 12 i DSN nisu podešeni na računaru korisnika.</w:t>
      </w:r>
    </w:p>
    <w:p>
      <w:pPr>
        <w:pStyle w:val="ListBullet"/>
        <w:keepNext w:val="0"/>
        <w:spacing w:before="0" w:after="80" w:line="264" w:lineRule="auto"/>
      </w:pPr>
      <w:r>
        <w:rPr>
          <w:rFonts w:ascii="Arial" w:hAnsi="Arial"/>
          <w:b/>
          <w:color w:val="2F5949"/>
          <w:sz w:val="20"/>
        </w:rPr>
        <w:t xml:space="preserve">Postojeći DSN: </w:t>
      </w:r>
      <w:r>
        <w:rPr>
          <w:rFonts w:ascii="Arial" w:hAnsi="Arial"/>
          <w:color w:val="17211D"/>
          <w:sz w:val="20"/>
        </w:rPr>
        <w:t>korisnik bira dostupnu Calculus bazu i prijavljuje se uobičajenim korisničkim imenom i lozinkom.</w:t>
      </w:r>
    </w:p>
    <w:p>
      <w:pPr>
        <w:pStyle w:val="ListBullet"/>
        <w:keepNext w:val="0"/>
        <w:spacing w:before="0" w:after="80" w:line="264" w:lineRule="auto"/>
      </w:pPr>
      <w:r>
        <w:rPr>
          <w:rFonts w:ascii="Arial" w:hAnsi="Arial"/>
          <w:b/>
          <w:color w:val="2F5949"/>
          <w:sz w:val="20"/>
        </w:rPr>
        <w:t xml:space="preserve">Lokalna Glavna baza: </w:t>
      </w:r>
      <w:r>
        <w:rPr>
          <w:rFonts w:ascii="Arial" w:hAnsi="Arial"/>
          <w:color w:val="17211D"/>
          <w:sz w:val="20"/>
        </w:rPr>
        <w:t>ako DSN ne postoji, korisnik bira Windows folder sa svežom kopijom datoteke pop97.db i pripadajućim log datotekama.</w:t>
      </w:r>
    </w:p>
    <w:p>
      <w:pPr>
        <w:pStyle w:val="ListBullet"/>
        <w:keepNext w:val="0"/>
        <w:spacing w:before="0" w:after="80" w:line="264" w:lineRule="auto"/>
      </w:pPr>
      <w:r>
        <w:rPr>
          <w:rFonts w:ascii="Arial" w:hAnsi="Arial"/>
          <w:b/>
          <w:color w:val="2F5949"/>
          <w:sz w:val="20"/>
        </w:rPr>
        <w:t xml:space="preserve">Lokalna Uporedna baza: </w:t>
      </w:r>
      <w:r>
        <w:rPr>
          <w:rFonts w:ascii="Arial" w:hAnsi="Arial"/>
          <w:color w:val="17211D"/>
          <w:sz w:val="20"/>
        </w:rPr>
        <w:t>opciono se bira drugi folder za referentnu poslovnu godinu; Glavna i Uporedna baza ne mogu biti isti izvor.</w:t>
      </w:r>
    </w:p>
    <w:p>
      <w:pPr>
        <w:pStyle w:val="ListBullet"/>
        <w:keepNext w:val="0"/>
        <w:spacing w:before="0" w:after="80" w:line="264" w:lineRule="auto"/>
      </w:pPr>
      <w:r>
        <w:rPr>
          <w:rFonts w:ascii="Arial" w:hAnsi="Arial"/>
          <w:b/>
          <w:color w:val="2F5949"/>
          <w:sz w:val="20"/>
        </w:rPr>
        <w:t xml:space="preserve">Privatni radni primerci: </w:t>
      </w:r>
      <w:r>
        <w:rPr>
          <w:rFonts w:ascii="Arial" w:hAnsi="Arial"/>
          <w:color w:val="17211D"/>
          <w:sz w:val="20"/>
        </w:rPr>
        <w:t>Radar pravi izdvojene kopije, pokreće ih samo lokalno i po zatvaranju uklanja privremene podatke i procese.</w:t>
      </w:r>
    </w:p>
    <w:p>
      <w:pPr>
        <w:pStyle w:val="ListBullet"/>
        <w:keepNext w:val="0"/>
        <w:spacing w:before="0" w:after="80" w:line="264" w:lineRule="auto"/>
      </w:pPr>
      <w:r>
        <w:rPr>
          <w:rFonts w:ascii="Arial" w:hAnsi="Arial"/>
          <w:b/>
          <w:color w:val="2F5949"/>
          <w:sz w:val="20"/>
        </w:rPr>
        <w:t xml:space="preserve">Izvorne datoteke ostaju netaknute: </w:t>
      </w:r>
      <w:r>
        <w:rPr>
          <w:rFonts w:ascii="Arial" w:hAnsi="Arial"/>
          <w:color w:val="17211D"/>
          <w:sz w:val="20"/>
        </w:rPr>
        <w:t>izabrane baze i logovi se ne pomeraju, ne preimenuju i ne otvaraju direktno za obradu.</w:t>
      </w:r>
    </w:p>
    <w:p>
      <w:pPr>
        <w:pStyle w:val="ListBullet"/>
        <w:keepNext w:val="0"/>
        <w:spacing w:before="0" w:after="80" w:line="264" w:lineRule="auto"/>
      </w:pPr>
      <w:r>
        <w:rPr>
          <w:rFonts w:ascii="Arial" w:hAnsi="Arial"/>
          <w:b/>
          <w:color w:val="2F5949"/>
          <w:sz w:val="20"/>
        </w:rPr>
        <w:t xml:space="preserve">Isti poslovni obračuni: </w:t>
      </w:r>
      <w:r>
        <w:rPr>
          <w:rFonts w:ascii="Arial" w:hAnsi="Arial"/>
          <w:color w:val="17211D"/>
          <w:sz w:val="20"/>
        </w:rPr>
        <w:t>datum preseka, srpska slova i poslovne celine obrađuju se jednako preko DSN-a i iz privatne lokalne kopije.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1" w:color="F7F0DF"/>
          <w:left w:val="single" w:sz="1" w:color="F7F0DF"/>
          <w:bottom w:val="single" w:sz="1" w:color="F7F0DF"/>
          <w:right w:val="single" w:sz="1" w:color="F7F0DF"/>
          <w:insideH w:val="single" w:sz="1" w:color="F7F0DF"/>
          <w:insideV w:val="single" w:sz="1" w:color="F7F0DF"/>
        </w:tblBorders>
      </w:tblPr>
      <w:tblGrid>
        <w:gridCol w:w="9184"/>
      </w:tblGrid>
      <w:tr>
        <w:tc>
          <w:tcPr>
            <w:tcW w:type="dxa" w:w="9184"/>
            <w:vAlign w:val="center"/>
            <w:shd w:fill="F7F0DF"/>
            <w:tcMar>
              <w:top w:w="180" w:type="dxa"/>
              <w:start w:w="240" w:type="dxa"/>
              <w:bottom w:w="180" w:type="dxa"/>
              <w:end w:w="240" w:type="dxa"/>
            </w:tcMar>
          </w:tcPr>
          <w:p>
            <w:pPr>
              <w:keepNext w:val="0"/>
              <w:spacing w:before="0" w:after="60" w:line="259" w:lineRule="auto"/>
            </w:pPr>
            <w:r>
              <w:rPr>
                <w:rFonts w:ascii="Arial" w:hAnsi="Arial"/>
                <w:b/>
                <w:color w:val="173A2F"/>
                <w:sz w:val="22"/>
              </w:rPr>
              <w:t>Tvrda read-only granica</w:t>
            </w:r>
          </w:p>
          <w:p>
            <w:pPr>
              <w:keepNext w:val="0"/>
              <w:spacing w:before="0" w:after="0" w:line="269" w:lineRule="auto"/>
            </w:pPr>
            <w:r>
              <w:rPr>
                <w:rFonts w:ascii="Arial" w:hAnsi="Arial"/>
                <w:color w:val="17211D"/>
                <w:sz w:val="19"/>
              </w:rPr>
              <w:t>Radar nad Calculus podacima dozvoljava samo upite za čitanje. Ne izvršava INSERT, UPDATE, DELETE, DDL ni procedure koje menjaju bazu; nalaz može sadržati preporuku, ali intervenciju obavlja korisnik ili ovlašćeni stručnjak.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1" w:color="EAF1ED"/>
          <w:left w:val="single" w:sz="1" w:color="EAF1ED"/>
          <w:bottom w:val="single" w:sz="1" w:color="EAF1ED"/>
          <w:right w:val="single" w:sz="1" w:color="EAF1ED"/>
          <w:insideH w:val="single" w:sz="1" w:color="EAF1ED"/>
          <w:insideV w:val="single" w:sz="1" w:color="EAF1ED"/>
        </w:tblBorders>
      </w:tblPr>
      <w:tblGrid>
        <w:gridCol w:w="9184"/>
      </w:tblGrid>
      <w:tr>
        <w:tc>
          <w:tcPr>
            <w:tcW w:type="dxa" w:w="9184"/>
            <w:vAlign w:val="center"/>
            <w:shd w:fill="EAF1ED"/>
            <w:tcMar>
              <w:top w:w="180" w:type="dxa"/>
              <w:start w:w="240" w:type="dxa"/>
              <w:bottom w:w="180" w:type="dxa"/>
              <w:end w:w="240" w:type="dxa"/>
            </w:tcMar>
          </w:tcPr>
          <w:p>
            <w:pPr>
              <w:keepNext w:val="0"/>
              <w:spacing w:before="0" w:after="60" w:line="259" w:lineRule="auto"/>
            </w:pPr>
            <w:r>
              <w:rPr>
                <w:rFonts w:ascii="Arial" w:hAnsi="Arial"/>
                <w:b/>
                <w:color w:val="173A2F"/>
                <w:sz w:val="22"/>
              </w:rPr>
              <w:t>Pravo korišćenja SQL Anywhere komponenti</w:t>
            </w:r>
          </w:p>
          <w:p>
            <w:pPr>
              <w:keepNext w:val="0"/>
              <w:spacing w:before="0" w:after="0" w:line="269" w:lineRule="auto"/>
            </w:pPr>
            <w:r>
              <w:rPr>
                <w:rFonts w:ascii="Arial" w:hAnsi="Arial"/>
                <w:color w:val="17211D"/>
                <w:sz w:val="19"/>
              </w:rPr>
              <w:t>Lokalni režim aktivira se tek pošto korisnik potvrdi da za Sybase SQL Anywhere komponente ima važeće pravo korišćenja ili licencu.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  <w:keepNext/>
      </w:pPr>
      <w:r>
        <w:t>Novi upravljački paket v2.6.1</w:t>
      </w:r>
    </w:p>
    <w:p>
      <w:pPr>
        <w:keepNext w:val="0"/>
        <w:spacing w:before="0" w:after="240" w:line="269" w:lineRule="auto"/>
      </w:pPr>
      <w:r>
        <w:rPr>
          <w:rFonts w:ascii="Arial" w:hAnsi="Arial"/>
          <w:b w:val="0"/>
          <w:i w:val="0"/>
          <w:color w:val="2F5949"/>
          <w:sz w:val="22"/>
        </w:rPr>
        <w:t>Druga glavna verzija ne prikazuje samo šta se dogodilo. Ona iz istog preseka izdvaja gde menadžment treba da reaguje, šta vezuje novac i koji poslovni tok usporava rezultat.</w:t>
      </w:r>
    </w:p>
    <w:p>
      <w:pPr>
        <w:pStyle w:val="ListBullet"/>
        <w:keepNext w:val="0"/>
        <w:spacing w:before="0" w:after="80" w:line="264" w:lineRule="auto"/>
      </w:pPr>
      <w:r>
        <w:rPr>
          <w:rFonts w:ascii="Arial" w:hAnsi="Arial"/>
          <w:b/>
          <w:color w:val="2F5949"/>
          <w:sz w:val="20"/>
        </w:rPr>
        <w:t xml:space="preserve">Centar za upravljačke akcije: </w:t>
      </w:r>
      <w:r>
        <w:rPr>
          <w:rFonts w:ascii="Arial" w:hAnsi="Arial"/>
          <w:color w:val="17211D"/>
          <w:sz w:val="20"/>
        </w:rPr>
        <w:t>rangira do deset najvažnijih signala po ozbiljnosti, finansijskom efektu i trajanju, uz odgovorni sektor i narednu proveru.</w:t>
      </w:r>
    </w:p>
    <w:p>
      <w:pPr>
        <w:pStyle w:val="ListBullet"/>
        <w:keepNext w:val="0"/>
        <w:spacing w:before="0" w:after="80" w:line="264" w:lineRule="auto"/>
      </w:pPr>
      <w:r>
        <w:rPr>
          <w:rFonts w:ascii="Arial" w:hAnsi="Arial"/>
          <w:b/>
          <w:color w:val="2F5949"/>
          <w:sz w:val="20"/>
        </w:rPr>
        <w:t xml:space="preserve">NBS kontrola tekućih računa: </w:t>
      </w:r>
      <w:r>
        <w:rPr>
          <w:rFonts w:ascii="Arial" w:hAnsi="Arial"/>
          <w:color w:val="17211D"/>
          <w:sz w:val="20"/>
        </w:rPr>
        <w:t>read-only poredi račune firme iz Calculusa sa javnim registrom NBS i izdvaja signal blokade i račune koji zahtevaju usklađenje šifarnika.</w:t>
      </w:r>
    </w:p>
    <w:p>
      <w:pPr>
        <w:pStyle w:val="ListBullet"/>
        <w:keepNext w:val="0"/>
        <w:spacing w:before="0" w:after="80" w:line="264" w:lineRule="auto"/>
      </w:pPr>
      <w:r>
        <w:rPr>
          <w:rFonts w:ascii="Arial" w:hAnsi="Arial"/>
          <w:b/>
          <w:color w:val="2F5949"/>
          <w:sz w:val="20"/>
        </w:rPr>
        <w:t xml:space="preserve">Prognoza do 31.12.: </w:t>
      </w:r>
      <w:r>
        <w:rPr>
          <w:rFonts w:ascii="Arial" w:hAnsi="Arial"/>
          <w:color w:val="17211D"/>
          <w:sz w:val="20"/>
        </w:rPr>
        <w:t>odvaja ostvarenje od konzervativnog, očekivanog i optimističnog scenarija prihoda, rashoda, EBITDA, rezultata, gotovine i obrtnog kapitala.</w:t>
      </w:r>
    </w:p>
    <w:p>
      <w:pPr>
        <w:pStyle w:val="ListBullet"/>
        <w:keepNext w:val="0"/>
        <w:spacing w:before="0" w:after="80" w:line="264" w:lineRule="auto"/>
      </w:pPr>
      <w:r>
        <w:rPr>
          <w:rFonts w:ascii="Arial" w:hAnsi="Arial"/>
          <w:b/>
          <w:color w:val="2F5949"/>
          <w:sz w:val="20"/>
        </w:rPr>
        <w:t xml:space="preserve">Obrtni kapital i ciklus gotovine: </w:t>
      </w:r>
      <w:r>
        <w:rPr>
          <w:rFonts w:ascii="Arial" w:hAnsi="Arial"/>
          <w:color w:val="17211D"/>
          <w:sz w:val="20"/>
        </w:rPr>
        <w:t>objedinjuje DSO, dane zaliha, DPO i simulaciju oslobađanja gotovine skraćenjem naplate i obrta zaliha.</w:t>
      </w:r>
    </w:p>
    <w:p>
      <w:pPr>
        <w:pStyle w:val="ListBullet"/>
        <w:keepNext w:val="0"/>
        <w:spacing w:before="0" w:after="80" w:line="264" w:lineRule="auto"/>
      </w:pPr>
      <w:r>
        <w:rPr>
          <w:rFonts w:ascii="Arial" w:hAnsi="Arial"/>
          <w:b/>
          <w:color w:val="2F5949"/>
          <w:sz w:val="20"/>
        </w:rPr>
        <w:t xml:space="preserve">Rizik koncentracije: </w:t>
      </w:r>
      <w:r>
        <w:rPr>
          <w:rFonts w:ascii="Arial" w:hAnsi="Arial"/>
          <w:color w:val="17211D"/>
          <w:sz w:val="20"/>
        </w:rPr>
        <w:t>meri zavisnost prodaje, marže, potraživanja i nabavke od najvećih kupaca i dobavljača.</w:t>
      </w:r>
    </w:p>
    <w:p>
      <w:pPr>
        <w:pStyle w:val="ListBullet"/>
        <w:keepNext w:val="0"/>
        <w:spacing w:before="0" w:after="80" w:line="264" w:lineRule="auto"/>
      </w:pPr>
      <w:r>
        <w:rPr>
          <w:rFonts w:ascii="Arial" w:hAnsi="Arial"/>
          <w:b/>
          <w:color w:val="2F5949"/>
          <w:sz w:val="20"/>
        </w:rPr>
        <w:t xml:space="preserve">Profit-Volume-Mix: </w:t>
      </w:r>
      <w:r>
        <w:rPr>
          <w:rFonts w:ascii="Arial" w:hAnsi="Arial"/>
          <w:color w:val="17211D"/>
          <w:sz w:val="20"/>
        </w:rPr>
        <w:t>objašnjava promenu bruto razlike kroz efekat obima, prodajne i nabavne cene, novih i izgubljenih artikala.</w:t>
      </w:r>
    </w:p>
    <w:p>
      <w:pPr>
        <w:pStyle w:val="ListBullet"/>
        <w:keepNext w:val="0"/>
        <w:spacing w:before="0" w:after="80" w:line="264" w:lineRule="auto"/>
      </w:pPr>
      <w:r>
        <w:rPr>
          <w:rFonts w:ascii="Arial" w:hAnsi="Arial"/>
          <w:b/>
          <w:color w:val="2F5949"/>
          <w:sz w:val="20"/>
        </w:rPr>
        <w:t xml:space="preserve">Brzina procesa: </w:t>
      </w:r>
      <w:r>
        <w:rPr>
          <w:rFonts w:ascii="Arial" w:hAnsi="Arial"/>
          <w:color w:val="17211D"/>
          <w:sz w:val="20"/>
        </w:rPr>
        <w:t>prati dokazive veze porudžbina-isporuka-faktura-naplata i izdvaja zaglavljene dokumente i usko grlo.</w:t>
      </w:r>
    </w:p>
    <w:p>
      <w:pPr>
        <w:pStyle w:val="ListBullet"/>
        <w:keepNext w:val="0"/>
        <w:spacing w:before="0" w:after="80" w:line="264" w:lineRule="auto"/>
      </w:pPr>
      <w:r>
        <w:rPr>
          <w:rFonts w:ascii="Arial" w:hAnsi="Arial"/>
          <w:b/>
          <w:color w:val="2F5949"/>
          <w:sz w:val="20"/>
        </w:rPr>
        <w:t xml:space="preserve">Rang-lista poslovnih jedinica: </w:t>
      </w:r>
      <w:r>
        <w:rPr>
          <w:rFonts w:ascii="Arial" w:hAnsi="Arial"/>
          <w:color w:val="17211D"/>
          <w:sz w:val="20"/>
        </w:rPr>
        <w:t>rangira uporedive prodajne celine po doprinosu bruto razlici i označava jedinice koje traže reakciju.</w:t>
      </w:r>
    </w:p>
    <w:p>
      <w:pPr>
        <w:pStyle w:val="ListBullet"/>
        <w:keepNext w:val="0"/>
        <w:spacing w:before="0" w:after="80" w:line="264" w:lineRule="auto"/>
      </w:pPr>
      <w:r>
        <w:rPr>
          <w:rFonts w:ascii="Arial" w:hAnsi="Arial"/>
          <w:b/>
          <w:color w:val="2F5949"/>
          <w:sz w:val="20"/>
        </w:rPr>
        <w:t xml:space="preserve">Plan prodaje i nabavke: </w:t>
      </w:r>
      <w:r>
        <w:rPr>
          <w:rFonts w:ascii="Arial" w:hAnsi="Arial"/>
          <w:color w:val="17211D"/>
          <w:sz w:val="20"/>
        </w:rPr>
        <w:t>poredi zvanične Calculus planove sa realizacijom i prikazuje statuse Poručiti, U dolasku i Stiglo.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1" w:color="F7F0DF"/>
          <w:left w:val="single" w:sz="1" w:color="F7F0DF"/>
          <w:bottom w:val="single" w:sz="1" w:color="F7F0DF"/>
          <w:right w:val="single" w:sz="1" w:color="F7F0DF"/>
          <w:insideH w:val="single" w:sz="1" w:color="F7F0DF"/>
          <w:insideV w:val="single" w:sz="1" w:color="F7F0DF"/>
        </w:tblBorders>
      </w:tblPr>
      <w:tblGrid>
        <w:gridCol w:w="9184"/>
      </w:tblGrid>
      <w:tr>
        <w:tc>
          <w:tcPr>
            <w:tcW w:type="dxa" w:w="9184"/>
            <w:vAlign w:val="center"/>
            <w:shd w:fill="F7F0DF"/>
            <w:tcMar>
              <w:top w:w="180" w:type="dxa"/>
              <w:start w:w="240" w:type="dxa"/>
              <w:bottom w:w="180" w:type="dxa"/>
              <w:end w:w="240" w:type="dxa"/>
            </w:tcMar>
          </w:tcPr>
          <w:p>
            <w:pPr>
              <w:keepNext w:val="0"/>
              <w:spacing w:before="0" w:after="60" w:line="259" w:lineRule="auto"/>
            </w:pPr>
            <w:r>
              <w:rPr>
                <w:rFonts w:ascii="Arial" w:hAnsi="Arial"/>
                <w:b/>
                <w:color w:val="173A2F"/>
                <w:sz w:val="22"/>
              </w:rPr>
              <w:t>Jedan datum, jedan obuhvat, jedan dokaziv rezultat</w:t>
            </w:r>
          </w:p>
          <w:p>
            <w:pPr>
              <w:keepNext w:val="0"/>
              <w:spacing w:before="0" w:after="0" w:line="269" w:lineRule="auto"/>
            </w:pPr>
            <w:r>
              <w:rPr>
                <w:rFonts w:ascii="Arial" w:hAnsi="Arial"/>
                <w:color w:val="17211D"/>
                <w:sz w:val="19"/>
              </w:rPr>
              <w:t>Sve nove celine poštuju isti datum preseka, izabrani status dokumenata, interne komitente, prava korisnika i kontrolisani PDF/DOCX/XLSX/AI/Power BI izvoz.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  <w:keepNext/>
      </w:pPr>
      <w:r>
        <w:t>Operativni tokovi pod kontrolom</w:t>
      </w:r>
    </w:p>
    <w:p>
      <w:pPr>
        <w:pStyle w:val="Heading2"/>
        <w:keepNext/>
      </w:pPr>
      <w:r>
        <w:t>Prodaja, kupci i zalihe</w:t>
      </w:r>
    </w:p>
    <w:p>
      <w:pPr>
        <w:pStyle w:val="ListBullet"/>
        <w:keepNext w:val="0"/>
        <w:spacing w:before="0" w:after="80" w:line="264" w:lineRule="auto"/>
      </w:pPr>
      <w:r>
        <w:rPr>
          <w:rFonts w:ascii="Arial" w:hAnsi="Arial"/>
          <w:b/>
          <w:color w:val="2F5949"/>
          <w:sz w:val="20"/>
        </w:rPr>
        <w:t xml:space="preserve">Prodaja i fakturisanje: </w:t>
      </w:r>
      <w:r>
        <w:rPr>
          <w:rFonts w:ascii="Arial" w:hAnsi="Arial"/>
          <w:color w:val="17211D"/>
          <w:sz w:val="20"/>
        </w:rPr>
        <w:t>realizacija, broj dokumenata, kanali, kupci, artikli i trendovi.</w:t>
      </w:r>
    </w:p>
    <w:p>
      <w:pPr>
        <w:pStyle w:val="ListBullet"/>
        <w:keepNext w:val="0"/>
        <w:spacing w:before="0" w:after="80" w:line="264" w:lineRule="auto"/>
      </w:pPr>
      <w:r>
        <w:rPr>
          <w:rFonts w:ascii="Arial" w:hAnsi="Arial"/>
          <w:b/>
          <w:color w:val="2F5949"/>
          <w:sz w:val="20"/>
        </w:rPr>
        <w:t xml:space="preserve">Potraživanja i obaveze: </w:t>
      </w:r>
      <w:r>
        <w:rPr>
          <w:rFonts w:ascii="Arial" w:hAnsi="Arial"/>
          <w:color w:val="17211D"/>
          <w:sz w:val="20"/>
        </w:rPr>
        <w:t>strogo u okviru poslovne godine i izabranog datuma preseka, sa dospećima i starosnom strukturom kada podaci to omogućavaju.</w:t>
      </w:r>
    </w:p>
    <w:p>
      <w:pPr>
        <w:pStyle w:val="ListBullet"/>
        <w:keepNext w:val="0"/>
        <w:spacing w:before="0" w:after="80" w:line="264" w:lineRule="auto"/>
      </w:pPr>
      <w:r>
        <w:rPr>
          <w:rFonts w:ascii="Arial" w:hAnsi="Arial"/>
          <w:b/>
          <w:color w:val="2F5949"/>
          <w:sz w:val="20"/>
        </w:rPr>
        <w:t xml:space="preserve">Zalihe: </w:t>
      </w:r>
      <w:r>
        <w:rPr>
          <w:rFonts w:ascii="Arial" w:hAnsi="Arial"/>
          <w:color w:val="17211D"/>
          <w:sz w:val="20"/>
        </w:rPr>
        <w:t>vrednost i količine po magacinima, spora i mrtva zaliha, kritični nedostaci i upozorenja o negativnoj valorizaciji.</w:t>
      </w:r>
    </w:p>
    <w:p>
      <w:pPr>
        <w:pStyle w:val="Heading2"/>
        <w:keepNext/>
      </w:pPr>
      <w:r>
        <w:t>Nabavka i prijem robe</w:t>
      </w:r>
    </w:p>
    <w:p>
      <w:pPr>
        <w:pStyle w:val="ListBullet"/>
        <w:keepNext w:val="0"/>
        <w:spacing w:before="0" w:after="80" w:line="264" w:lineRule="auto"/>
      </w:pPr>
      <w:r>
        <w:rPr>
          <w:rFonts w:ascii="Arial" w:hAnsi="Arial"/>
          <w:b/>
          <w:color w:val="2F5949"/>
          <w:sz w:val="20"/>
        </w:rPr>
        <w:t xml:space="preserve">Prijemnice: </w:t>
      </w:r>
      <w:r>
        <w:rPr>
          <w:rFonts w:ascii="Arial" w:hAnsi="Arial"/>
          <w:color w:val="17211D"/>
          <w:sz w:val="20"/>
        </w:rPr>
        <w:t>broj prijema, dobavljačka i nabavna vrednost i procenat pokrivenosti nabavnom vrednošću.</w:t>
      </w:r>
    </w:p>
    <w:p>
      <w:pPr>
        <w:pStyle w:val="ListBullet"/>
        <w:keepNext w:val="0"/>
        <w:spacing w:before="0" w:after="80" w:line="264" w:lineRule="auto"/>
      </w:pPr>
      <w:r>
        <w:rPr>
          <w:rFonts w:ascii="Arial" w:hAnsi="Arial"/>
          <w:b/>
          <w:color w:val="2F5949"/>
          <w:sz w:val="20"/>
        </w:rPr>
        <w:t xml:space="preserve">Dobavljači, magacini i artikli: </w:t>
      </w:r>
      <w:r>
        <w:rPr>
          <w:rFonts w:ascii="Arial" w:hAnsi="Arial"/>
          <w:color w:val="17211D"/>
          <w:sz w:val="20"/>
        </w:rPr>
        <w:t>pregled strukture nabavke i dnevna dinamika poslednjih 30 dana.</w:t>
      </w:r>
    </w:p>
    <w:p>
      <w:pPr>
        <w:pStyle w:val="Heading2"/>
        <w:keepNext/>
      </w:pPr>
      <w:r>
        <w:t>Posebne poslovne celine</w:t>
      </w:r>
    </w:p>
    <w:p>
      <w:pPr>
        <w:pStyle w:val="ListBullet"/>
        <w:keepNext w:val="0"/>
        <w:spacing w:before="0" w:after="80" w:line="264" w:lineRule="auto"/>
      </w:pPr>
      <w:r>
        <w:rPr>
          <w:rFonts w:ascii="Arial" w:hAnsi="Arial"/>
          <w:b/>
          <w:color w:val="2F5949"/>
          <w:sz w:val="20"/>
        </w:rPr>
        <w:t xml:space="preserve">Proizvodnja: </w:t>
      </w:r>
      <w:r>
        <w:rPr>
          <w:rFonts w:ascii="Arial" w:hAnsi="Arial"/>
          <w:color w:val="17211D"/>
          <w:sz w:val="20"/>
        </w:rPr>
        <w:t>radni nalozi, planirane i realizovane količine, utrošak, predaja proizvoda i otvoreni nalozi - kada firma koristi odgovarajući tok.</w:t>
      </w:r>
    </w:p>
    <w:p>
      <w:pPr>
        <w:pStyle w:val="ListBullet"/>
        <w:keepNext w:val="0"/>
        <w:spacing w:before="0" w:after="80" w:line="264" w:lineRule="auto"/>
      </w:pPr>
      <w:r>
        <w:rPr>
          <w:rFonts w:ascii="Arial" w:hAnsi="Arial"/>
          <w:b/>
          <w:color w:val="2F5949"/>
          <w:sz w:val="20"/>
        </w:rPr>
        <w:t xml:space="preserve">Web-shop: </w:t>
      </w:r>
      <w:r>
        <w:rPr>
          <w:rFonts w:ascii="Arial" w:hAnsi="Arial"/>
          <w:color w:val="17211D"/>
          <w:sz w:val="20"/>
        </w:rPr>
        <w:t>realizovane isporuke, veza sa prodajnim dokumentima, vrednost realizacije i isporuke sa negativnom maržom.</w:t>
      </w:r>
    </w:p>
    <w:p>
      <w:pPr>
        <w:pStyle w:val="ListBullet"/>
        <w:keepNext w:val="0"/>
        <w:spacing w:before="0" w:after="80" w:line="264" w:lineRule="auto"/>
      </w:pPr>
      <w:r>
        <w:rPr>
          <w:rFonts w:ascii="Arial" w:hAnsi="Arial"/>
          <w:b/>
          <w:color w:val="2F5949"/>
          <w:sz w:val="20"/>
        </w:rPr>
        <w:t xml:space="preserve">B2B / SEF: </w:t>
      </w:r>
      <w:r>
        <w:rPr>
          <w:rFonts w:ascii="Arial" w:hAnsi="Arial"/>
          <w:color w:val="17211D"/>
          <w:sz w:val="20"/>
        </w:rPr>
        <w:t>statusi elektronske razmene, završeni i uvezeni dokumenti, tekuće greške i upozorenja.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1" w:color="EAF1ED"/>
          <w:left w:val="single" w:sz="1" w:color="EAF1ED"/>
          <w:bottom w:val="single" w:sz="1" w:color="EAF1ED"/>
          <w:right w:val="single" w:sz="1" w:color="EAF1ED"/>
          <w:insideH w:val="single" w:sz="1" w:color="EAF1ED"/>
          <w:insideV w:val="single" w:sz="1" w:color="EAF1ED"/>
        </w:tblBorders>
      </w:tblPr>
      <w:tblGrid>
        <w:gridCol w:w="9184"/>
      </w:tblGrid>
      <w:tr>
        <w:tc>
          <w:tcPr>
            <w:tcW w:type="dxa" w:w="9184"/>
            <w:vAlign w:val="center"/>
            <w:shd w:fill="EAF1ED"/>
            <w:tcMar>
              <w:top w:w="180" w:type="dxa"/>
              <w:start w:w="240" w:type="dxa"/>
              <w:bottom w:w="180" w:type="dxa"/>
              <w:end w:w="240" w:type="dxa"/>
            </w:tcMar>
          </w:tcPr>
          <w:p>
            <w:pPr>
              <w:keepNext w:val="0"/>
              <w:spacing w:before="0" w:after="60" w:line="259" w:lineRule="auto"/>
            </w:pPr>
            <w:r>
              <w:rPr>
                <w:rFonts w:ascii="Arial" w:hAnsi="Arial"/>
                <w:b/>
                <w:color w:val="173A2F"/>
                <w:sz w:val="22"/>
              </w:rPr>
              <w:t>Bez lažne nule</w:t>
            </w:r>
          </w:p>
          <w:p>
            <w:pPr>
              <w:keepNext w:val="0"/>
              <w:spacing w:before="0" w:after="0" w:line="269" w:lineRule="auto"/>
            </w:pPr>
            <w:r>
              <w:rPr>
                <w:rFonts w:ascii="Arial" w:hAnsi="Arial"/>
                <w:color w:val="17211D"/>
                <w:sz w:val="19"/>
              </w:rPr>
              <w:t>Ako baza nema određeni modul ili nema dovoljno pouzdane podatke, Radar izveštaj označava kao nedostupan umesto da izmisli rezultat ili prikaže nulu bez osnova.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  <w:keepNext/>
      </w:pPr>
      <w:r>
        <w:t>Finansijska slika i YoY — Poređenje godina</w:t>
      </w:r>
    </w:p>
    <w:p>
      <w:pPr>
        <w:pStyle w:val="Heading2"/>
        <w:keepNext/>
      </w:pPr>
      <w:r>
        <w:t>Preliminarni finansijski izveštaji</w:t>
      </w:r>
    </w:p>
    <w:p>
      <w:pPr>
        <w:pStyle w:val="ListBullet"/>
        <w:keepNext w:val="0"/>
        <w:spacing w:before="0" w:after="80" w:line="264" w:lineRule="auto"/>
      </w:pPr>
      <w:r>
        <w:rPr>
          <w:rFonts w:ascii="Arial" w:hAnsi="Arial"/>
          <w:b/>
          <w:color w:val="2F5949"/>
          <w:sz w:val="20"/>
        </w:rPr>
        <w:t xml:space="preserve">Bruto bilans: </w:t>
      </w:r>
      <w:r>
        <w:rPr>
          <w:rFonts w:ascii="Arial" w:hAnsi="Arial"/>
          <w:color w:val="17211D"/>
          <w:sz w:val="20"/>
        </w:rPr>
        <w:t>početno stanje, promet i saldo po kontima, sa kontrolom ravnoteže.</w:t>
      </w:r>
    </w:p>
    <w:p>
      <w:pPr>
        <w:pStyle w:val="ListBullet"/>
        <w:keepNext w:val="0"/>
        <w:spacing w:before="0" w:after="80" w:line="264" w:lineRule="auto"/>
      </w:pPr>
      <w:r>
        <w:rPr>
          <w:rFonts w:ascii="Arial" w:hAnsi="Arial"/>
          <w:b/>
          <w:color w:val="2F5949"/>
          <w:sz w:val="20"/>
        </w:rPr>
        <w:t xml:space="preserve">Bilans uspeha: </w:t>
      </w:r>
      <w:r>
        <w:rPr>
          <w:rFonts w:ascii="Arial" w:hAnsi="Arial"/>
          <w:color w:val="17211D"/>
          <w:sz w:val="20"/>
        </w:rPr>
        <w:t>Calculus AOP raspored za privredna društva, prihodi, rashodi, poreski efekti i preliminarni rezultat.</w:t>
      </w:r>
    </w:p>
    <w:p>
      <w:pPr>
        <w:pStyle w:val="ListBullet"/>
        <w:keepNext w:val="0"/>
        <w:spacing w:before="0" w:after="80" w:line="264" w:lineRule="auto"/>
      </w:pPr>
      <w:r>
        <w:rPr>
          <w:rFonts w:ascii="Arial" w:hAnsi="Arial"/>
          <w:b/>
          <w:color w:val="2F5949"/>
          <w:sz w:val="20"/>
        </w:rPr>
        <w:t xml:space="preserve">Bilans stanja: </w:t>
      </w:r>
      <w:r>
        <w:rPr>
          <w:rFonts w:ascii="Arial" w:hAnsi="Arial"/>
          <w:color w:val="17211D"/>
          <w:sz w:val="20"/>
        </w:rPr>
        <w:t>AOP aktiva i pasiva, nezatvoren rezultat tekućeg perioda i upravljačko usklađenje.</w:t>
      </w:r>
    </w:p>
    <w:p>
      <w:pPr>
        <w:pStyle w:val="ListBullet"/>
        <w:keepNext w:val="0"/>
        <w:spacing w:before="0" w:after="80" w:line="264" w:lineRule="auto"/>
      </w:pPr>
      <w:r>
        <w:rPr>
          <w:rFonts w:ascii="Arial" w:hAnsi="Arial"/>
          <w:b/>
          <w:color w:val="2F5949"/>
          <w:sz w:val="20"/>
        </w:rPr>
        <w:t xml:space="preserve">Usklađenje AOP rezultata: </w:t>
      </w:r>
      <w:r>
        <w:rPr>
          <w:rFonts w:ascii="Arial" w:hAnsi="Arial"/>
          <w:color w:val="17211D"/>
          <w:sz w:val="20"/>
        </w:rPr>
        <w:t>jasno odvaja formalni Calculus obrazac od rezultata koji još nije zatvoren u Glavnoj knjizi.</w:t>
      </w:r>
    </w:p>
    <w:p>
      <w:pPr>
        <w:pStyle w:val="Heading2"/>
        <w:keepNext/>
      </w:pPr>
      <w:r>
        <w:t>Menadžerski pokazatelji</w:t>
      </w:r>
    </w:p>
    <w:p>
      <w:pPr>
        <w:pStyle w:val="ListBullet"/>
        <w:keepNext w:val="0"/>
        <w:spacing w:before="0" w:after="80" w:line="264" w:lineRule="auto"/>
      </w:pPr>
      <w:r>
        <w:rPr>
          <w:rFonts w:ascii="Arial" w:hAnsi="Arial"/>
          <w:b/>
          <w:color w:val="2F5949"/>
          <w:sz w:val="20"/>
        </w:rPr>
        <w:t xml:space="preserve">Profitabilnost: </w:t>
      </w:r>
      <w:r>
        <w:rPr>
          <w:rFonts w:ascii="Arial" w:hAnsi="Arial"/>
          <w:color w:val="17211D"/>
          <w:sz w:val="20"/>
        </w:rPr>
        <w:t>prihodi, rashodi, EBITDA, neto rezultat, bruto razlika i marža kada postoje pouzdani izvori.</w:t>
      </w:r>
    </w:p>
    <w:p>
      <w:pPr>
        <w:pStyle w:val="ListBullet"/>
        <w:keepNext w:val="0"/>
        <w:spacing w:before="0" w:after="80" w:line="264" w:lineRule="auto"/>
      </w:pPr>
      <w:r>
        <w:rPr>
          <w:rFonts w:ascii="Arial" w:hAnsi="Arial"/>
          <w:b/>
          <w:color w:val="2F5949"/>
          <w:sz w:val="20"/>
        </w:rPr>
        <w:t xml:space="preserve">Likvidnost i obrtni kapital: </w:t>
      </w:r>
      <w:r>
        <w:rPr>
          <w:rFonts w:ascii="Arial" w:hAnsi="Arial"/>
          <w:color w:val="17211D"/>
          <w:sz w:val="20"/>
        </w:rPr>
        <w:t>tekući i ubrzani racio, DSO, DPO, dani zaliha i ciklus konverzije gotovine.</w:t>
      </w:r>
    </w:p>
    <w:p>
      <w:pPr>
        <w:pStyle w:val="ListBullet"/>
        <w:keepNext w:val="0"/>
        <w:spacing w:before="0" w:after="80" w:line="264" w:lineRule="auto"/>
      </w:pPr>
      <w:r>
        <w:rPr>
          <w:rFonts w:ascii="Arial" w:hAnsi="Arial"/>
          <w:b/>
          <w:color w:val="2F5949"/>
          <w:sz w:val="20"/>
        </w:rPr>
        <w:t xml:space="preserve">Dug i kvalitet dobiti: </w:t>
      </w:r>
      <w:r>
        <w:rPr>
          <w:rFonts w:ascii="Arial" w:hAnsi="Arial"/>
          <w:color w:val="17211D"/>
          <w:sz w:val="20"/>
        </w:rPr>
        <w:t>bruto i neto dug, odnos neto duga i EBITDA, pokriće finansijskih rashoda i izdvajanje jednokratnih efekata.</w:t>
      </w:r>
    </w:p>
    <w:p>
      <w:pPr>
        <w:pStyle w:val="ListBullet"/>
        <w:keepNext w:val="0"/>
        <w:spacing w:before="0" w:after="80" w:line="264" w:lineRule="auto"/>
      </w:pPr>
      <w:r>
        <w:rPr>
          <w:rFonts w:ascii="Arial" w:hAnsi="Arial"/>
          <w:b/>
          <w:color w:val="2F5949"/>
          <w:sz w:val="20"/>
        </w:rPr>
        <w:t xml:space="preserve">Novčani tok i run-rate: </w:t>
      </w:r>
      <w:r>
        <w:rPr>
          <w:rFonts w:ascii="Arial" w:hAnsi="Arial"/>
          <w:color w:val="17211D"/>
          <w:sz w:val="20"/>
        </w:rPr>
        <w:t>upravljačka aproksimacija tokova i linearna projekcija do kraja godine kada postoji dovoljan period.</w:t>
      </w:r>
    </w:p>
    <w:p>
      <w:pPr>
        <w:pStyle w:val="Heading2"/>
        <w:keepNext/>
      </w:pPr>
      <w:r>
        <w:t>PDV prag</w:t>
      </w:r>
    </w:p>
    <w:p>
      <w:pPr>
        <w:keepNext w:val="0"/>
        <w:spacing w:before="0" w:after="120" w:line="269" w:lineRule="auto"/>
      </w:pPr>
      <w:r>
        <w:rPr>
          <w:rFonts w:ascii="Arial" w:hAnsi="Arial"/>
          <w:b w:val="0"/>
          <w:i w:val="0"/>
          <w:color w:val="17211D"/>
          <w:sz w:val="20"/>
        </w:rPr>
        <w:t>Za firme van sistema PDV-a Radar postepeno upozorava na približavanje zakonskom pragu i prikazuje crveni alarm po prelasku. Obračun se daje samo kada baze obezbeđuju neprekinutih 12 meseci potrebnih podataka.</w:t>
      </w:r>
    </w:p>
    <w:p>
      <w:r>
        <w:br w:type="page"/>
      </w:r>
    </w:p>
    <w:p>
      <w:pPr>
        <w:pStyle w:val="Heading1"/>
        <w:keepNext/>
      </w:pPr>
      <w:r>
        <w:t>Pouzdanost, bezbednost i dokumenti</w:t>
      </w:r>
    </w:p>
    <w:p>
      <w:pPr>
        <w:pStyle w:val="Heading2"/>
        <w:keepNext/>
      </w:pPr>
      <w:r>
        <w:t>Kontrolisan obuhvat</w:t>
      </w:r>
    </w:p>
    <w:p>
      <w:pPr>
        <w:pStyle w:val="ListBullet"/>
        <w:keepNext w:val="0"/>
        <w:spacing w:before="0" w:after="80" w:line="264" w:lineRule="auto"/>
      </w:pPr>
      <w:r>
        <w:rPr>
          <w:rFonts w:ascii="Arial" w:hAnsi="Arial"/>
          <w:b/>
          <w:color w:val="2F5949"/>
          <w:sz w:val="20"/>
        </w:rPr>
        <w:t xml:space="preserve">Proknjižena dokumenta: </w:t>
      </w:r>
      <w:r>
        <w:rPr>
          <w:rFonts w:ascii="Arial" w:hAnsi="Arial"/>
          <w:color w:val="17211D"/>
          <w:sz w:val="20"/>
        </w:rPr>
        <w:t>podrazumevani i službeni obuhvat preseka.</w:t>
      </w:r>
    </w:p>
    <w:p>
      <w:pPr>
        <w:pStyle w:val="ListBullet"/>
        <w:keepNext w:val="0"/>
        <w:spacing w:before="0" w:after="80" w:line="264" w:lineRule="auto"/>
      </w:pPr>
      <w:r>
        <w:rPr>
          <w:rFonts w:ascii="Arial" w:hAnsi="Arial"/>
          <w:b/>
          <w:color w:val="2F5949"/>
          <w:sz w:val="20"/>
        </w:rPr>
        <w:t xml:space="preserve">Sva dokumenta: </w:t>
      </w:r>
      <w:r>
        <w:rPr>
          <w:rFonts w:ascii="Arial" w:hAnsi="Arial"/>
          <w:color w:val="17211D"/>
          <w:sz w:val="20"/>
        </w:rPr>
        <w:t>radni scenario koji može uključiti izabrane neproknjižene operativne dokumente i naloge Glavne knjige, uz vidljivu oznaku neslužbenog rezultata.</w:t>
      </w:r>
    </w:p>
    <w:p>
      <w:pPr>
        <w:pStyle w:val="ListBullet"/>
        <w:keepNext w:val="0"/>
        <w:spacing w:before="0" w:after="80" w:line="264" w:lineRule="auto"/>
      </w:pPr>
      <w:r>
        <w:rPr>
          <w:rFonts w:ascii="Arial" w:hAnsi="Arial"/>
          <w:b/>
          <w:color w:val="2F5949"/>
          <w:sz w:val="20"/>
        </w:rPr>
        <w:t xml:space="preserve">Kontrole kvaliteta: </w:t>
      </w:r>
      <w:r>
        <w:rPr>
          <w:rFonts w:ascii="Arial" w:hAnsi="Arial"/>
          <w:color w:val="17211D"/>
          <w:sz w:val="20"/>
        </w:rPr>
        <w:t>početno stanje, završni nalozi, ravnoteža naloga, statusi robnih dokumenata, datumi i svežina baze.</w:t>
      </w:r>
    </w:p>
    <w:p>
      <w:pPr>
        <w:pStyle w:val="ListBullet"/>
        <w:keepNext w:val="0"/>
        <w:spacing w:before="0" w:after="80" w:line="264" w:lineRule="auto"/>
      </w:pPr>
      <w:r>
        <w:rPr>
          <w:rFonts w:ascii="Arial" w:hAnsi="Arial"/>
          <w:b/>
          <w:color w:val="2F5949"/>
          <w:sz w:val="20"/>
        </w:rPr>
        <w:t xml:space="preserve">Materijalna razlika cena: </w:t>
      </w:r>
      <w:r>
        <w:rPr>
          <w:rFonts w:ascii="Arial" w:hAnsi="Arial"/>
          <w:color w:val="17211D"/>
          <w:sz w:val="20"/>
        </w:rPr>
        <w:t>ignoriše tehnički šum manji od 1,00 u zajedničkoj valuti, a prodaju ispod nabavne cene ostavlja kao signal za proveru rabata i poslovnog razloga.</w:t>
      </w:r>
    </w:p>
    <w:p>
      <w:pPr>
        <w:pStyle w:val="ListBullet"/>
        <w:keepNext w:val="0"/>
        <w:spacing w:before="0" w:after="80" w:line="264" w:lineRule="auto"/>
      </w:pPr>
      <w:r>
        <w:rPr>
          <w:rFonts w:ascii="Arial" w:hAnsi="Arial"/>
          <w:b/>
          <w:color w:val="2F5949"/>
          <w:sz w:val="20"/>
        </w:rPr>
        <w:t xml:space="preserve">Status komitenata: </w:t>
      </w:r>
      <w:r>
        <w:rPr>
          <w:rFonts w:ascii="Arial" w:hAnsi="Arial"/>
          <w:color w:val="17211D"/>
          <w:sz w:val="20"/>
        </w:rPr>
        <w:t>kupci, dobavljači, državne institucije i banke ostaju Ostali; sopstveni objekti, prelazni i tehnički komitenti moraju biti Interni.</w:t>
      </w:r>
    </w:p>
    <w:p>
      <w:pPr>
        <w:pStyle w:val="ListBullet"/>
        <w:keepNext w:val="0"/>
        <w:spacing w:before="0" w:after="80" w:line="264" w:lineRule="auto"/>
      </w:pPr>
      <w:r>
        <w:rPr>
          <w:rFonts w:ascii="Arial" w:hAnsi="Arial"/>
          <w:b/>
          <w:color w:val="2F5949"/>
          <w:sz w:val="20"/>
        </w:rPr>
        <w:t xml:space="preserve">Delimično uspešan presek: </w:t>
      </w:r>
      <w:r>
        <w:rPr>
          <w:rFonts w:ascii="Arial" w:hAnsi="Arial"/>
          <w:color w:val="17211D"/>
          <w:sz w:val="20"/>
        </w:rPr>
        <w:t>ako pojedina poslovna celina ne može da se obradi, Radar jasno prikazuje neuspešne blokove, zadržava sve raspoložive rezultate i omogućava novo generisanje.</w:t>
      </w:r>
    </w:p>
    <w:p>
      <w:pPr>
        <w:pStyle w:val="Heading2"/>
        <w:keepNext/>
      </w:pPr>
      <w:r>
        <w:t>Pristup i zaštita</w:t>
      </w:r>
    </w:p>
    <w:p>
      <w:pPr>
        <w:pStyle w:val="ListBullet"/>
        <w:keepNext w:val="0"/>
        <w:spacing w:before="0" w:after="80" w:line="264" w:lineRule="auto"/>
      </w:pPr>
      <w:r>
        <w:rPr>
          <w:rFonts w:ascii="Arial" w:hAnsi="Arial"/>
          <w:b/>
          <w:color w:val="2F5949"/>
          <w:sz w:val="20"/>
        </w:rPr>
        <w:t xml:space="preserve">Lični nalozi i uloge: </w:t>
      </w:r>
      <w:r>
        <w:rPr>
          <w:rFonts w:ascii="Arial" w:hAnsi="Arial"/>
          <w:color w:val="17211D"/>
          <w:sz w:val="20"/>
        </w:rPr>
        <w:t>Administrator, Vlasnik/direktor, Menadžer i Referent, sa pojedinačnim pravima po izveštaju.</w:t>
      </w:r>
    </w:p>
    <w:p>
      <w:pPr>
        <w:pStyle w:val="ListBullet"/>
        <w:keepNext w:val="0"/>
        <w:spacing w:before="0" w:after="80" w:line="264" w:lineRule="auto"/>
      </w:pPr>
      <w:r>
        <w:rPr>
          <w:rFonts w:ascii="Arial" w:hAnsi="Arial"/>
          <w:b/>
          <w:color w:val="2F5949"/>
          <w:sz w:val="20"/>
        </w:rPr>
        <w:t xml:space="preserve">Automatsko zaključavanje: </w:t>
      </w:r>
      <w:r>
        <w:rPr>
          <w:rFonts w:ascii="Arial" w:hAnsi="Arial"/>
          <w:color w:val="17211D"/>
          <w:sz w:val="20"/>
        </w:rPr>
        <w:t>posle neaktivnosti zahteva novu ručnu prijavu i uklanja zapamćenu Radar lozinku.</w:t>
      </w:r>
    </w:p>
    <w:p>
      <w:pPr>
        <w:pStyle w:val="ListBullet"/>
        <w:keepNext w:val="0"/>
        <w:spacing w:before="0" w:after="80" w:line="264" w:lineRule="auto"/>
      </w:pPr>
      <w:r>
        <w:rPr>
          <w:rFonts w:ascii="Arial" w:hAnsi="Arial"/>
          <w:b/>
          <w:color w:val="2F5949"/>
          <w:sz w:val="20"/>
        </w:rPr>
        <w:t xml:space="preserve">Samo čitanje: </w:t>
      </w:r>
      <w:r>
        <w:rPr>
          <w:rFonts w:ascii="Arial" w:hAnsi="Arial"/>
          <w:color w:val="17211D"/>
          <w:sz w:val="20"/>
        </w:rPr>
        <w:t>Radar ne menja poslovne podatke u Calculus bazi; obrada i čuvanje preseka ostaju lokalni.</w:t>
      </w:r>
    </w:p>
    <w:p>
      <w:pPr>
        <w:pStyle w:val="ListBullet"/>
        <w:keepNext w:val="0"/>
        <w:spacing w:before="0" w:after="80" w:line="264" w:lineRule="auto"/>
      </w:pPr>
      <w:r>
        <w:rPr>
          <w:rFonts w:ascii="Arial" w:hAnsi="Arial"/>
          <w:b/>
          <w:color w:val="2F5949"/>
          <w:sz w:val="20"/>
        </w:rPr>
        <w:t xml:space="preserve">Javna NBS provera: </w:t>
      </w:r>
      <w:r>
        <w:rPr>
          <w:rFonts w:ascii="Arial" w:hAnsi="Arial"/>
          <w:color w:val="17211D"/>
          <w:sz w:val="20"/>
        </w:rPr>
        <w:t>prosleđuje samo javni matični broj ili PIB firme. Poslovni podaci se ne šalju, demo baze se preskaču, a zastareli keš ne proizvodi alarm.</w:t>
      </w:r>
    </w:p>
    <w:p>
      <w:pPr>
        <w:pStyle w:val="Heading2"/>
        <w:keepNext/>
      </w:pPr>
      <w:r>
        <w:t>Dokumenti za sastanke, elaborate i planove</w:t>
      </w:r>
    </w:p>
    <w:p>
      <w:pPr>
        <w:pStyle w:val="ListBullet"/>
        <w:keepNext w:val="0"/>
        <w:spacing w:before="0" w:after="80" w:line="264" w:lineRule="auto"/>
      </w:pPr>
      <w:r>
        <w:rPr>
          <w:rFonts w:ascii="Arial" w:hAnsi="Arial"/>
          <w:b/>
          <w:color w:val="2F5949"/>
          <w:sz w:val="20"/>
        </w:rPr>
        <w:t xml:space="preserve">PDF: </w:t>
      </w:r>
      <w:r>
        <w:rPr>
          <w:rFonts w:ascii="Arial" w:hAnsi="Arial"/>
          <w:color w:val="17211D"/>
          <w:sz w:val="20"/>
        </w:rPr>
        <w:t>uređen dokument za distribuciju, arhivu i pripremu sastanka.</w:t>
      </w:r>
    </w:p>
    <w:p>
      <w:pPr>
        <w:pStyle w:val="ListBullet"/>
        <w:keepNext w:val="0"/>
        <w:spacing w:before="0" w:after="80" w:line="264" w:lineRule="auto"/>
      </w:pPr>
      <w:r>
        <w:rPr>
          <w:rFonts w:ascii="Arial" w:hAnsi="Arial"/>
          <w:b/>
          <w:color w:val="2F5949"/>
          <w:sz w:val="20"/>
        </w:rPr>
        <w:t xml:space="preserve">DOCX: </w:t>
      </w:r>
      <w:r>
        <w:rPr>
          <w:rFonts w:ascii="Arial" w:hAnsi="Arial"/>
          <w:color w:val="17211D"/>
          <w:sz w:val="20"/>
        </w:rPr>
        <w:t>izmenjive tabele i tekst za specifične upravljačke izveštaje, poslovne i investicione planove.</w:t>
      </w:r>
    </w:p>
    <w:p>
      <w:pPr>
        <w:pStyle w:val="ListBullet"/>
        <w:keepNext w:val="0"/>
        <w:spacing w:before="0" w:after="80" w:line="264" w:lineRule="auto"/>
      </w:pPr>
      <w:r>
        <w:rPr>
          <w:rFonts w:ascii="Arial" w:hAnsi="Arial"/>
          <w:b/>
          <w:color w:val="2F5949"/>
          <w:sz w:val="20"/>
        </w:rPr>
        <w:t xml:space="preserve">XLSX: </w:t>
      </w:r>
      <w:r>
        <w:rPr>
          <w:rFonts w:ascii="Arial" w:hAnsi="Arial"/>
          <w:color w:val="17211D"/>
          <w:sz w:val="20"/>
        </w:rPr>
        <w:t>numeričke tabele spremne za Excel, Power BI i dalju BI obradu bez ručnog prepisivanja.</w:t>
      </w:r>
    </w:p>
    <w:p>
      <w:pPr>
        <w:pStyle w:val="ListBullet"/>
        <w:keepNext w:val="0"/>
        <w:spacing w:before="0" w:after="80" w:line="264" w:lineRule="auto"/>
      </w:pPr>
      <w:r>
        <w:rPr>
          <w:rFonts w:ascii="Arial" w:hAnsi="Arial"/>
          <w:b/>
          <w:color w:val="2F5949"/>
          <w:sz w:val="20"/>
        </w:rPr>
        <w:t xml:space="preserve">AI paket: </w:t>
      </w:r>
      <w:r>
        <w:rPr>
          <w:rFonts w:ascii="Arial" w:hAnsi="Arial"/>
          <w:color w:val="17211D"/>
          <w:sz w:val="20"/>
        </w:rPr>
        <w:t>lokalni ZIP sa JSON izveštajem, CSV tabelama, metodologijom i kontrolnim hash vrednostima; ništa se ne šalje automatski.</w:t>
      </w:r>
    </w:p>
    <w:p>
      <w:pPr>
        <w:pStyle w:val="ListBullet"/>
        <w:keepNext w:val="0"/>
        <w:spacing w:before="0" w:after="80" w:line="264" w:lineRule="auto"/>
      </w:pPr>
      <w:r>
        <w:rPr>
          <w:rFonts w:ascii="Arial" w:hAnsi="Arial"/>
          <w:b/>
          <w:color w:val="2F5949"/>
          <w:sz w:val="20"/>
        </w:rPr>
        <w:t xml:space="preserve">Power BI paket: </w:t>
      </w:r>
      <w:r>
        <w:rPr>
          <w:rFonts w:ascii="Arial" w:hAnsi="Arial"/>
          <w:color w:val="17211D"/>
          <w:sz w:val="20"/>
        </w:rPr>
        <w:t>stabilan BI model, jedan Excel izvor, detaljne CSV tabele, Power Query osnova i kontrolni manifest bez direktnog povezivanja Power BI-ja na Calculus bazu.</w:t>
      </w:r>
    </w:p>
    <w:p>
      <w:pPr>
        <w:pStyle w:val="ListBullet"/>
        <w:keepNext w:val="0"/>
        <w:spacing w:before="0" w:after="80" w:line="264" w:lineRule="auto"/>
      </w:pPr>
      <w:r>
        <w:rPr>
          <w:rFonts w:ascii="Arial" w:hAnsi="Arial"/>
          <w:b/>
          <w:color w:val="2F5949"/>
          <w:sz w:val="20"/>
        </w:rPr>
        <w:t xml:space="preserve">Pojmovnik: </w:t>
      </w:r>
      <w:r>
        <w:rPr>
          <w:rFonts w:ascii="Arial" w:hAnsi="Arial"/>
          <w:color w:val="17211D"/>
          <w:sz w:val="20"/>
        </w:rPr>
        <w:t>praktično objašnjava KPI, YTD, MTD, YoY, CAGR, EBITDA, DSO, DPO, obrtni kapital i druge termine.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1" w:color="EAF1ED"/>
          <w:left w:val="single" w:sz="1" w:color="EAF1ED"/>
          <w:bottom w:val="single" w:sz="1" w:color="EAF1ED"/>
          <w:right w:val="single" w:sz="1" w:color="EAF1ED"/>
          <w:insideH w:val="single" w:sz="1" w:color="EAF1ED"/>
          <w:insideV w:val="single" w:sz="1" w:color="EAF1ED"/>
        </w:tblBorders>
      </w:tblPr>
      <w:tblGrid>
        <w:gridCol w:w="9184"/>
      </w:tblGrid>
      <w:tr>
        <w:tc>
          <w:tcPr>
            <w:tcW w:type="dxa" w:w="9184"/>
            <w:vAlign w:val="center"/>
            <w:shd w:fill="EAF1ED"/>
            <w:tcMar>
              <w:top w:w="180" w:type="dxa"/>
              <w:start w:w="240" w:type="dxa"/>
              <w:bottom w:w="180" w:type="dxa"/>
              <w:end w:w="240" w:type="dxa"/>
            </w:tcMar>
          </w:tcPr>
          <w:p>
            <w:pPr>
              <w:keepNext w:val="0"/>
              <w:spacing w:before="0" w:after="60" w:line="259" w:lineRule="auto"/>
            </w:pPr>
            <w:r>
              <w:rPr>
                <w:rFonts w:ascii="Arial" w:hAnsi="Arial"/>
                <w:b/>
                <w:color w:val="173A2F"/>
                <w:sz w:val="22"/>
              </w:rPr>
              <w:t>Od Radara do upravljačke prezentacije</w:t>
            </w:r>
          </w:p>
          <w:p>
            <w:pPr>
              <w:keepNext w:val="0"/>
              <w:spacing w:before="0" w:after="0" w:line="269" w:lineRule="auto"/>
            </w:pPr>
            <w:r>
              <w:rPr>
                <w:rFonts w:ascii="Arial" w:hAnsi="Arial"/>
                <w:color w:val="17211D"/>
                <w:sz w:val="19"/>
              </w:rPr>
              <w:t>AI paket se može probno analizirati u ChatGPT-u u okviru ograničenja naloga. Posle analize direktor može tražiti i PPTX prezentaciju za upravu, banku ili investitore.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1" w:color="F7F0DF"/>
          <w:left w:val="single" w:sz="1" w:color="F7F0DF"/>
          <w:bottom w:val="single" w:sz="1" w:color="F7F0DF"/>
          <w:right w:val="single" w:sz="1" w:color="F7F0DF"/>
          <w:insideH w:val="single" w:sz="1" w:color="F7F0DF"/>
          <w:insideV w:val="single" w:sz="1" w:color="F7F0DF"/>
        </w:tblBorders>
      </w:tblPr>
      <w:tblGrid>
        <w:gridCol w:w="9184"/>
      </w:tblGrid>
      <w:tr>
        <w:tc>
          <w:tcPr>
            <w:tcW w:type="dxa" w:w="9184"/>
            <w:vAlign w:val="center"/>
            <w:shd w:fill="F7F0DF"/>
            <w:tcMar>
              <w:top w:w="180" w:type="dxa"/>
              <w:start w:w="240" w:type="dxa"/>
              <w:bottom w:w="180" w:type="dxa"/>
              <w:end w:w="240" w:type="dxa"/>
            </w:tcMar>
          </w:tcPr>
          <w:p>
            <w:pPr>
              <w:keepNext w:val="0"/>
              <w:spacing w:before="0" w:after="60" w:line="259" w:lineRule="auto"/>
            </w:pPr>
            <w:r>
              <w:rPr>
                <w:rFonts w:ascii="Arial" w:hAnsi="Arial"/>
                <w:b/>
                <w:color w:val="173A2F"/>
                <w:sz w:val="22"/>
              </w:rPr>
              <w:t>Važna napomena</w:t>
            </w:r>
          </w:p>
          <w:p>
            <w:pPr>
              <w:keepNext w:val="0"/>
              <w:spacing w:before="0" w:after="0" w:line="269" w:lineRule="auto"/>
            </w:pPr>
            <w:r>
              <w:rPr>
                <w:rFonts w:ascii="Arial" w:hAnsi="Arial"/>
                <w:color w:val="17211D"/>
                <w:sz w:val="19"/>
              </w:rPr>
              <w:t>Radar je upravljački i servisni alat. Rezultati zavise od potpunosti, tačnosti i ažurnosti podataka u Calculus bazi i ne zamenjuju zvanične obrasce niti stručnu proveru računovođe.</w:t>
            </w:r>
          </w:p>
        </w:tc>
      </w:tr>
    </w:tbl>
    <w:p>
      <w:pPr>
        <w:spacing w:after="0"/>
      </w:pPr>
    </w:p>
    <w:p>
      <w:r>
        <w:br w:type="page"/>
      </w:r>
    </w:p>
    <w:p>
      <w:pPr>
        <w:pStyle w:val="Heading1"/>
        <w:keepNext/>
      </w:pPr>
      <w:r>
        <w:t>Izaberite licencu</w:t>
      </w:r>
    </w:p>
    <w:p>
      <w:pPr>
        <w:keepNext w:val="0"/>
        <w:spacing w:before="0" w:after="240" w:line="269" w:lineRule="auto"/>
      </w:pPr>
      <w:r>
        <w:rPr>
          <w:rFonts w:ascii="Arial" w:hAnsi="Arial"/>
          <w:b w:val="0"/>
          <w:i w:val="0"/>
          <w:color w:val="2F5949"/>
          <w:sz w:val="22"/>
        </w:rPr>
        <w:t>Trajna licenca za jednu registrovanu firmu, bez mesečne pretplate. Nove verzije uključene su 12 meseci.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7" w:color="D6DDD8"/>
          <w:left w:val="single" w:sz="7" w:color="D6DDD8"/>
          <w:bottom w:val="single" w:sz="7" w:color="D6DDD8"/>
          <w:right w:val="single" w:sz="7" w:color="D6DDD8"/>
          <w:insideH w:val="single" w:sz="7" w:color="D6DDD8"/>
          <w:insideV w:val="single" w:sz="7" w:color="D6DDD8"/>
        </w:tblBorders>
      </w:tblPr>
      <w:tblGrid>
        <w:gridCol w:w="3175"/>
        <w:gridCol w:w="3175"/>
        <w:gridCol w:w="3175"/>
      </w:tblGrid>
      <w:tr>
        <w:trPr>
          <w:tblHeader w:val="true"/>
        </w:trPr>
        <w:tc>
          <w:tcPr>
            <w:tcW w:type="dxa" w:w="4082"/>
            <w:vAlign w:val="center"/>
            <w:tcMar>
              <w:top w:w="170" w:type="dxa"/>
              <w:start w:w="180" w:type="dxa"/>
              <w:bottom w:w="170" w:type="dxa"/>
              <w:end w:w="180" w:type="dxa"/>
            </w:tcMar>
            <w:shd w:fill="173A2F"/>
          </w:tcPr>
          <w:p>
            <w:pPr>
              <w:keepNext w:val="0"/>
              <w:spacing w:before="0" w:after="0" w:line="252" w:lineRule="auto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Licenca</w:t>
            </w:r>
          </w:p>
        </w:tc>
        <w:tc>
          <w:tcPr>
            <w:tcW w:type="dxa" w:w="2381"/>
            <w:vAlign w:val="center"/>
            <w:tcMar>
              <w:top w:w="170" w:type="dxa"/>
              <w:start w:w="180" w:type="dxa"/>
              <w:bottom w:w="170" w:type="dxa"/>
              <w:end w:w="180" w:type="dxa"/>
            </w:tcMar>
            <w:shd w:fill="173A2F"/>
          </w:tcPr>
          <w:p>
            <w:pPr>
              <w:keepNext w:val="0"/>
              <w:spacing w:before="0" w:after="0" w:line="252" w:lineRule="auto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Radna mesta</w:t>
            </w:r>
          </w:p>
        </w:tc>
        <w:tc>
          <w:tcPr>
            <w:tcW w:type="dxa" w:w="2721"/>
            <w:vAlign w:val="center"/>
            <w:tcMar>
              <w:top w:w="170" w:type="dxa"/>
              <w:start w:w="180" w:type="dxa"/>
              <w:bottom w:w="170" w:type="dxa"/>
              <w:end w:w="180" w:type="dxa"/>
            </w:tcMar>
            <w:shd w:fill="173A2F"/>
          </w:tcPr>
          <w:p>
            <w:pPr>
              <w:keepNext w:val="0"/>
              <w:spacing w:before="0" w:after="0" w:line="252" w:lineRule="auto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Cena bez PDV-a</w:t>
            </w:r>
          </w:p>
        </w:tc>
      </w:tr>
      <w:tr>
        <w:tc>
          <w:tcPr>
            <w:tcW w:type="dxa" w:w="4082"/>
            <w:vAlign w:val="center"/>
            <w:tcMar>
              <w:top w:w="170" w:type="dxa"/>
              <w:start w:w="180" w:type="dxa"/>
              <w:bottom w:w="170" w:type="dxa"/>
              <w:end w:w="180" w:type="dxa"/>
            </w:tcMar>
            <w:shd w:fill="EAF1ED"/>
          </w:tcPr>
          <w:p>
            <w:pPr>
              <w:keepNext w:val="0"/>
              <w:spacing w:before="0" w:after="0" w:line="252" w:lineRule="auto"/>
              <w:jc w:val="left"/>
            </w:pPr>
            <w:r>
              <w:rPr>
                <w:rFonts w:ascii="Arial" w:hAnsi="Arial"/>
                <w:b/>
                <w:color w:val="17211D"/>
                <w:sz w:val="20"/>
              </w:rPr>
              <w:t>Jedno licencirano radno mesto</w:t>
            </w:r>
          </w:p>
        </w:tc>
        <w:tc>
          <w:tcPr>
            <w:tcW w:type="dxa" w:w="2381"/>
            <w:vAlign w:val="center"/>
            <w:tcMar>
              <w:top w:w="170" w:type="dxa"/>
              <w:start w:w="180" w:type="dxa"/>
              <w:bottom w:w="170" w:type="dxa"/>
              <w:end w:w="180" w:type="dxa"/>
            </w:tcMar>
            <w:shd w:fill="EAF1ED"/>
          </w:tcPr>
          <w:p>
            <w:pPr>
              <w:keepNext w:val="0"/>
              <w:spacing w:before="0" w:after="0" w:line="252" w:lineRule="auto"/>
              <w:jc w:val="center"/>
            </w:pPr>
            <w:r>
              <w:rPr>
                <w:rFonts w:ascii="Arial" w:hAnsi="Arial"/>
                <w:b/>
                <w:color w:val="17211D"/>
                <w:sz w:val="20"/>
              </w:rPr>
              <w:t>1</w:t>
            </w:r>
          </w:p>
        </w:tc>
        <w:tc>
          <w:tcPr>
            <w:tcW w:type="dxa" w:w="2721"/>
            <w:vAlign w:val="center"/>
            <w:tcMar>
              <w:top w:w="170" w:type="dxa"/>
              <w:start w:w="180" w:type="dxa"/>
              <w:bottom w:w="170" w:type="dxa"/>
              <w:end w:w="180" w:type="dxa"/>
            </w:tcMar>
            <w:shd w:fill="EAF1ED"/>
          </w:tcPr>
          <w:p>
            <w:pPr>
              <w:keepNext w:val="0"/>
              <w:spacing w:before="0" w:after="0" w:line="252" w:lineRule="auto"/>
              <w:jc w:val="center"/>
            </w:pPr>
            <w:r>
              <w:rPr>
                <w:rFonts w:ascii="Arial" w:hAnsi="Arial"/>
                <w:b/>
                <w:color w:val="17211D"/>
                <w:sz w:val="20"/>
              </w:rPr>
              <w:t>14.990 RSD</w:t>
            </w:r>
          </w:p>
        </w:tc>
      </w:tr>
      <w:tr>
        <w:tc>
          <w:tcPr>
            <w:tcW w:type="dxa" w:w="4082"/>
            <w:vAlign w:val="center"/>
            <w:tcMar>
              <w:top w:w="170" w:type="dxa"/>
              <w:start w:w="180" w:type="dxa"/>
              <w:bottom w:w="170" w:type="dxa"/>
              <w:end w:w="180" w:type="dxa"/>
            </w:tcMar>
          </w:tcPr>
          <w:p>
            <w:pPr>
              <w:keepNext w:val="0"/>
              <w:spacing w:before="0" w:after="0" w:line="252" w:lineRule="auto"/>
              <w:jc w:val="left"/>
            </w:pPr>
            <w:r>
              <w:rPr>
                <w:rFonts w:ascii="Arial" w:hAnsi="Arial"/>
                <w:b/>
                <w:color w:val="17211D"/>
                <w:sz w:val="20"/>
              </w:rPr>
              <w:t>Do pet licenciranih radnih mesta</w:t>
            </w:r>
          </w:p>
        </w:tc>
        <w:tc>
          <w:tcPr>
            <w:tcW w:type="dxa" w:w="2381"/>
            <w:vAlign w:val="center"/>
            <w:tcMar>
              <w:top w:w="170" w:type="dxa"/>
              <w:start w:w="180" w:type="dxa"/>
              <w:bottom w:w="170" w:type="dxa"/>
              <w:end w:w="180" w:type="dxa"/>
            </w:tcMar>
          </w:tcPr>
          <w:p>
            <w:pPr>
              <w:keepNext w:val="0"/>
              <w:spacing w:before="0" w:after="0" w:line="252" w:lineRule="auto"/>
              <w:jc w:val="center"/>
            </w:pPr>
            <w:r>
              <w:rPr>
                <w:rFonts w:ascii="Arial" w:hAnsi="Arial"/>
                <w:b/>
                <w:color w:val="17211D"/>
                <w:sz w:val="20"/>
              </w:rPr>
              <w:t>do 5</w:t>
            </w:r>
          </w:p>
        </w:tc>
        <w:tc>
          <w:tcPr>
            <w:tcW w:type="dxa" w:w="2721"/>
            <w:vAlign w:val="center"/>
            <w:tcMar>
              <w:top w:w="170" w:type="dxa"/>
              <w:start w:w="180" w:type="dxa"/>
              <w:bottom w:w="170" w:type="dxa"/>
              <w:end w:w="180" w:type="dxa"/>
            </w:tcMar>
          </w:tcPr>
          <w:p>
            <w:pPr>
              <w:keepNext w:val="0"/>
              <w:spacing w:before="0" w:after="0" w:line="252" w:lineRule="auto"/>
              <w:jc w:val="center"/>
            </w:pPr>
            <w:r>
              <w:rPr>
                <w:rFonts w:ascii="Arial" w:hAnsi="Arial"/>
                <w:b/>
                <w:color w:val="17211D"/>
                <w:sz w:val="20"/>
              </w:rPr>
              <w:t>59.990 RSD</w:t>
            </w:r>
          </w:p>
        </w:tc>
      </w:tr>
    </w:tbl>
    <w:p>
      <w:pPr>
        <w:pStyle w:val="Heading2"/>
        <w:keepNext/>
      </w:pPr>
      <w:r>
        <w:t>Zašto razmotriti kupovinu</w:t>
      </w:r>
    </w:p>
    <w:p>
      <w:pPr>
        <w:pStyle w:val="ListBullet"/>
        <w:keepNext w:val="0"/>
        <w:spacing w:before="0" w:after="80" w:line="264" w:lineRule="auto"/>
      </w:pPr>
      <w:r>
        <w:rPr>
          <w:rFonts w:ascii="Arial" w:hAnsi="Arial"/>
          <w:b/>
          <w:color w:val="2F5949"/>
          <w:sz w:val="20"/>
        </w:rPr>
        <w:t xml:space="preserve">Vreme: </w:t>
      </w:r>
      <w:r>
        <w:rPr>
          <w:rFonts w:ascii="Arial" w:hAnsi="Arial"/>
          <w:color w:val="17211D"/>
          <w:sz w:val="20"/>
        </w:rPr>
        <w:t>jedan zahtev zamenjuje ručno prikupljanje i usaglašavanje više odvojenih pregleda.</w:t>
      </w:r>
    </w:p>
    <w:p>
      <w:pPr>
        <w:pStyle w:val="ListBullet"/>
        <w:keepNext w:val="0"/>
        <w:spacing w:before="0" w:after="80" w:line="264" w:lineRule="auto"/>
      </w:pPr>
      <w:r>
        <w:rPr>
          <w:rFonts w:ascii="Arial" w:hAnsi="Arial"/>
          <w:b/>
          <w:color w:val="2F5949"/>
          <w:sz w:val="20"/>
        </w:rPr>
        <w:t xml:space="preserve">Kontrola: </w:t>
      </w:r>
      <w:r>
        <w:rPr>
          <w:rFonts w:ascii="Arial" w:hAnsi="Arial"/>
          <w:color w:val="17211D"/>
          <w:sz w:val="20"/>
        </w:rPr>
        <w:t>ključni iznosi, statusi i upozorenja imaju vidljiv period, obuhvat i izvor.</w:t>
      </w:r>
    </w:p>
    <w:p>
      <w:pPr>
        <w:pStyle w:val="ListBullet"/>
        <w:keepNext w:val="0"/>
        <w:spacing w:before="0" w:after="80" w:line="264" w:lineRule="auto"/>
      </w:pPr>
      <w:r>
        <w:rPr>
          <w:rFonts w:ascii="Arial" w:hAnsi="Arial"/>
          <w:b/>
          <w:color w:val="2F5949"/>
          <w:sz w:val="20"/>
        </w:rPr>
        <w:t xml:space="preserve">Fokus: </w:t>
      </w:r>
      <w:r>
        <w:rPr>
          <w:rFonts w:ascii="Arial" w:hAnsi="Arial"/>
          <w:color w:val="17211D"/>
          <w:sz w:val="20"/>
        </w:rPr>
        <w:t>menadžment odmah vidi gde treba otvoriti detalj i ko treba da reaguje.</w:t>
      </w:r>
    </w:p>
    <w:p>
      <w:pPr>
        <w:pStyle w:val="ListBullet"/>
        <w:keepNext w:val="0"/>
        <w:spacing w:before="0" w:after="80" w:line="264" w:lineRule="auto"/>
      </w:pPr>
      <w:r>
        <w:rPr>
          <w:rFonts w:ascii="Arial" w:hAnsi="Arial"/>
          <w:b/>
          <w:color w:val="2F5949"/>
          <w:sz w:val="20"/>
        </w:rPr>
        <w:t xml:space="preserve">Upotrebljivost: </w:t>
      </w:r>
      <w:r>
        <w:rPr>
          <w:rFonts w:ascii="Arial" w:hAnsi="Arial"/>
          <w:color w:val="17211D"/>
          <w:sz w:val="20"/>
        </w:rPr>
        <w:t>bez posebnog BI projekta dobija se standardizovan presek, odmah primenljiv u Excelu, Power BI-ju ili AI analizi.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1" w:color="F7F0DF"/>
          <w:left w:val="single" w:sz="1" w:color="F7F0DF"/>
          <w:bottom w:val="single" w:sz="1" w:color="F7F0DF"/>
          <w:right w:val="single" w:sz="1" w:color="F7F0DF"/>
          <w:insideH w:val="single" w:sz="1" w:color="F7F0DF"/>
          <w:insideV w:val="single" w:sz="1" w:color="F7F0DF"/>
        </w:tblBorders>
      </w:tblPr>
      <w:tblGrid>
        <w:gridCol w:w="9184"/>
      </w:tblGrid>
      <w:tr>
        <w:tc>
          <w:tcPr>
            <w:tcW w:type="dxa" w:w="9184"/>
            <w:vAlign w:val="center"/>
            <w:shd w:fill="F7F0DF"/>
            <w:tcMar>
              <w:top w:w="180" w:type="dxa"/>
              <w:start w:w="240" w:type="dxa"/>
              <w:bottom w:w="180" w:type="dxa"/>
              <w:end w:w="240" w:type="dxa"/>
            </w:tcMar>
          </w:tcPr>
          <w:p>
            <w:pPr>
              <w:keepNext w:val="0"/>
              <w:spacing w:before="0" w:after="60" w:line="259" w:lineRule="auto"/>
            </w:pPr>
            <w:r>
              <w:rPr>
                <w:rFonts w:ascii="Arial" w:hAnsi="Arial"/>
                <w:b/>
                <w:color w:val="173A2F"/>
                <w:sz w:val="22"/>
              </w:rPr>
              <w:t>Pogledajte Radar i izaberite licencu</w:t>
            </w:r>
          </w:p>
          <w:p>
            <w:pPr>
              <w:keepNext w:val="0"/>
              <w:spacing w:before="0" w:after="0" w:line="269" w:lineRule="auto"/>
            </w:pPr>
            <w:r>
              <w:rPr>
                <w:rFonts w:ascii="Arial" w:hAnsi="Arial"/>
                <w:color w:val="17211D"/>
                <w:sz w:val="19"/>
              </w:rPr>
              <w:t>Posetite stranicu proizvoda na sagitarion.com. Tu možete preuzeti uputstvo, pogledati mogućnosti programa i poslati porudžbinu.</w:t>
            </w:r>
          </w:p>
        </w:tc>
      </w:tr>
    </w:tbl>
    <w:p>
      <w:pPr>
        <w:spacing w:after="0"/>
      </w:pPr>
    </w:p>
    <w:p>
      <w:pPr>
        <w:keepNext w:val="0"/>
        <w:spacing w:before="160" w:after="80" w:line="259" w:lineRule="auto"/>
        <w:jc w:val="center"/>
      </w:pPr>
      <w:r>
        <w:rPr>
          <w:rFonts w:ascii="Arial" w:hAnsi="Arial"/>
          <w:b/>
          <w:color w:val="173A2F"/>
          <w:sz w:val="30"/>
        </w:rPr>
        <w:t>www.sagitarion.com</w:t>
      </w:r>
    </w:p>
    <w:p>
      <w:pPr>
        <w:keepNext w:val="0"/>
        <w:spacing w:before="0" w:after="120" w:line="269" w:lineRule="auto"/>
        <w:jc w:val="center"/>
      </w:pPr>
      <w:r>
        <w:rPr>
          <w:rFonts w:ascii="Arial" w:hAnsi="Arial"/>
          <w:b w:val="0"/>
          <w:i/>
          <w:color w:val="5E6B65"/>
          <w:sz w:val="20"/>
        </w:rPr>
        <w:t>Calculus Poslovni Radar • trenutna krvna slika firme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964" w:right="1191" w:bottom="964" w:left="1191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keepNext w:val="0"/>
      <w:spacing w:before="0" w:after="0" w:line="259" w:lineRule="auto"/>
      <w:jc w:val="center"/>
    </w:pPr>
    <w:r>
      <w:rPr>
        <w:rFonts w:ascii="Arial" w:hAnsi="Arial"/>
        <w:color w:val="5E6B65"/>
        <w:sz w:val="16"/>
      </w:rPr>
      <w:t xml:space="preserve">Funkcije verzije 2.6.1  •  sagitarion.com  • 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keepNext w:val="0"/>
      <w:spacing w:before="0" w:after="0" w:line="259" w:lineRule="auto"/>
      <w:jc w:val="left"/>
    </w:pPr>
    <w:r>
      <w:rPr>
        <w:rFonts w:ascii="Arial" w:hAnsi="Arial"/>
        <w:b/>
        <w:color w:val="173A2F"/>
        <w:sz w:val="16"/>
      </w:rPr>
      <w:t>SAGITARION  |  CALCULUS POSLOVNI RADAR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color w:val="17211D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80" w:after="200"/>
      <w:outlineLvl w:val="0"/>
    </w:pPr>
    <w:rPr>
      <w:rFonts w:asciiTheme="majorHAnsi" w:eastAsiaTheme="majorEastAsia" w:hAnsiTheme="majorHAnsi" w:cstheme="majorBidi" w:ascii="Arial" w:hAnsi="Arial"/>
      <w:b/>
      <w:bCs/>
      <w:color w:val="173A2F"/>
      <w:sz w:val="4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Arial" w:hAnsi="Arial"/>
      <w:b/>
      <w:bCs/>
      <w:color w:val="2F5949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rial" w:hAnsi="Arial"/>
      <w:b/>
      <w:bCs/>
      <w:color w:val="2F5949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80" w:line="264" w:lineRule="auto"/>
      <w:ind w:left="369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Calculus Poslovni Radar - funkcije verzije 2.6.1</dc:title>
  <dc:subject>Pregled funkcija i licenci</dc:subject>
  <dc:creator>SAGITARION Subotica</dc:creator>
  <cp:keywords>Calculus 12, Poslovni Radar, upravljačko izveštavanje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